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AAE08" w14:textId="77777777" w:rsidR="00F96630" w:rsidRPr="00067095" w:rsidRDefault="00F96630" w:rsidP="00F96630">
      <w:pPr>
        <w:rPr>
          <w:rFonts w:ascii="Times New Roman" w:eastAsia="Times New Roman" w:hAnsi="Times New Roman" w:cs="Times New Roman"/>
          <w:sz w:val="32"/>
          <w:szCs w:val="32"/>
          <w:lang w:eastAsia="de-DE"/>
        </w:rPr>
      </w:pPr>
      <w:r w:rsidRPr="00067095">
        <w:rPr>
          <w:rFonts w:ascii="Times New Roman" w:eastAsia="Times New Roman" w:hAnsi="Times New Roman" w:cs="Times New Roman"/>
          <w:b/>
          <w:bCs/>
          <w:sz w:val="32"/>
          <w:szCs w:val="32"/>
          <w:lang w:eastAsia="de-DE"/>
        </w:rPr>
        <w:t>11 Fragen an MdB Jan Metzler.</w:t>
      </w:r>
    </w:p>
    <w:p w14:paraId="1DE34359" w14:textId="77777777" w:rsidR="00F96630" w:rsidRPr="00BE4C5F" w:rsidRDefault="00F96630" w:rsidP="00F96630">
      <w:pPr>
        <w:rPr>
          <w:rFonts w:ascii="Times New Roman" w:eastAsia="Times New Roman" w:hAnsi="Times New Roman" w:cs="Times New Roman"/>
          <w:szCs w:val="24"/>
          <w:lang w:eastAsia="de-DE"/>
        </w:rPr>
      </w:pPr>
    </w:p>
    <w:p w14:paraId="329B6A06"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Vorbemerkung</w:t>
      </w:r>
    </w:p>
    <w:p w14:paraId="0F3F46F8"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Das geplante Gebäudemodernisierungsgesetz (GModG), dessen Eckpunkte die Bundesregierung am 24. Februar 2026 vorlegte, ersetzt das bisherige Gebäudeenergiegesetz (GEG) von 2024. Kernstück ist die Abschaffung der 65-Prozent-Erneuerbare-Energien-Pflicht. An ihre Stelle tritt eine sogenannte „Bio-Treppe” mit minimalen Beimischungsquoten für Öl- und Gasheizungen, beginnend ab 2029 mit zehn Prozent. ￼ Stand April 2026 liegt noch kein Referentenentwurf vor; das Finanzministerium blockiert die Ressortabstimmung mit dem Verweis, der Koalitionsvertrag sehe den weiteren Ausbau der Erneuerbaren Energien vor. ￼</w:t>
      </w:r>
    </w:p>
    <w:p w14:paraId="099242F5" w14:textId="77777777" w:rsidR="00F96630" w:rsidRPr="00BE4C5F" w:rsidRDefault="00F96630" w:rsidP="00F96630">
      <w:pPr>
        <w:rPr>
          <w:rFonts w:ascii="Times New Roman" w:eastAsia="Times New Roman" w:hAnsi="Times New Roman" w:cs="Times New Roman"/>
          <w:szCs w:val="24"/>
          <w:lang w:eastAsia="de-DE"/>
        </w:rPr>
      </w:pPr>
    </w:p>
    <w:p w14:paraId="4B1F6095"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Thema: Biogas in wachsenden Mengen — Gefährdung der Ernährungssicherheit?</w:t>
      </w:r>
    </w:p>
    <w:p w14:paraId="0DC91B15" w14:textId="77777777" w:rsidR="00F96630" w:rsidRPr="00BE4C5F" w:rsidRDefault="00F96630" w:rsidP="00F96630">
      <w:pPr>
        <w:rPr>
          <w:rFonts w:ascii="Times New Roman" w:eastAsia="Times New Roman" w:hAnsi="Times New Roman" w:cs="Times New Roman"/>
          <w:szCs w:val="24"/>
          <w:lang w:eastAsia="de-DE"/>
        </w:rPr>
      </w:pPr>
    </w:p>
    <w:p w14:paraId="7720BE21"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Thesen:</w:t>
      </w:r>
      <w:r w:rsidRPr="00BE4C5F">
        <w:rPr>
          <w:rFonts w:ascii="Times New Roman" w:eastAsia="Times New Roman" w:hAnsi="Times New Roman" w:cs="Times New Roman"/>
          <w:szCs w:val="24"/>
          <w:lang w:eastAsia="de-DE"/>
        </w:rPr>
        <w:t xml:space="preserve"> Der im GModG vorgesehene schrittweise Anstieg des Biogas-Beimischungsanteils bis 60 Prozent im Jahr 2040 ist mit den real verfügbaren Biogasmengen nicht vereinbar, ohne entweder landwirtschaftliche Flächen von der Nahrungsmittelproduktion abzuziehen oder erhebliche Mengen zu importieren; beide Wege werfen ungelöste Fragen zur Versorgungssicherheit auf.</w:t>
      </w:r>
    </w:p>
    <w:p w14:paraId="3E2AFF76"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Die Bio-Treppe des GModG setzt voraus, dass Gas- und Ölheizungen künftig mit wachsenden Anteilen klimaneutraler Brennstoffe, insbesondere Biomethan, betrieben werden. Aktuell liegt die Biogas-Quote im deutschen Erdgasnetz laut Fachverband Biogas e. V. bei etwa 1,6 Prozent. ￼ Bis 2040 soll dieser Anteil auf bis zu 60 Prozent steigen. Dies ist ein Faktor von fast 40 gegenüber dem heutigen Stand. Die Machbarkeit eines Hochlaufs auf mehr als zehn Prozent Biogas ist bereits im Eckpunktepapier selbst als umstritten gekennzeichnet; die Kilowattstunde Biogas ist zudem heute schon deutlich teurer als Erdgas. ￼ Die Produktion von Biomethan in relevantem Maßstab erfordert entweder den Anbau nachwachsender Rohstoffe auf Agrarflächen oder die Nutzung von Gülle und organischen Reststoffen in begrenzten Mengen. Eine Skalierung auf den gesamten deutschen Wärmebedarf würde unweigerlich in Konkurrenz zur Nahrungsmittelerzeugung treten — ein Zielkonflikt, den das Gesetz bislang nicht auflöst.</w:t>
      </w:r>
    </w:p>
    <w:p w14:paraId="129714EE" w14:textId="77777777" w:rsidR="00F96630" w:rsidRPr="00BE4C5F" w:rsidRDefault="00F96630" w:rsidP="00F96630">
      <w:pPr>
        <w:rPr>
          <w:rFonts w:ascii="Times New Roman" w:eastAsia="Times New Roman" w:hAnsi="Times New Roman" w:cs="Times New Roman"/>
          <w:szCs w:val="24"/>
          <w:lang w:eastAsia="de-DE"/>
        </w:rPr>
      </w:pPr>
    </w:p>
    <w:p w14:paraId="490AB7BE"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Fragen</w:t>
      </w:r>
      <w:r w:rsidRPr="00BE4C5F">
        <w:rPr>
          <w:rFonts w:ascii="Times New Roman" w:eastAsia="Times New Roman" w:hAnsi="Times New Roman" w:cs="Times New Roman"/>
          <w:szCs w:val="24"/>
          <w:lang w:eastAsia="de-DE"/>
        </w:rPr>
        <w:t xml:space="preserve"> an MdB Jan Metzler: </w:t>
      </w:r>
    </w:p>
    <w:p w14:paraId="3B37C03A"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1. Welche konkreten Mengenschätzungen und Herkunftsnachweise liegen der Bundesregierung für das Biomethan vor, das erforderlich wäre, um die Bio-Treppe auf die Zielquoten von 2035 und 2040 zu heben? </w:t>
      </w:r>
    </w:p>
    <w:p w14:paraId="64D6407E"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2. Welche Flächenkonkurrenz zur Nahrungsmittelerzeugung ergibt sich dabei, und welche Maßnahmen sind vorgesehen, um die Ernährungssicherheit in Deutschland und Europa nicht zu gefährden?</w:t>
      </w:r>
    </w:p>
    <w:p w14:paraId="0A75104C" w14:textId="77777777" w:rsidR="00F96630" w:rsidRPr="00BE4C5F" w:rsidRDefault="00F96630" w:rsidP="00F96630">
      <w:pPr>
        <w:rPr>
          <w:rFonts w:ascii="Times New Roman" w:eastAsia="Times New Roman" w:hAnsi="Times New Roman" w:cs="Times New Roman"/>
          <w:szCs w:val="24"/>
          <w:lang w:eastAsia="de-DE"/>
        </w:rPr>
      </w:pPr>
    </w:p>
    <w:p w14:paraId="47FEE403"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Thema: Synthetische Energieträger für die Industrie — verschwendet das GModG eine knappe Ressource?</w:t>
      </w:r>
    </w:p>
    <w:p w14:paraId="187E2DF8" w14:textId="77777777" w:rsidR="00F96630" w:rsidRPr="00BE4C5F" w:rsidRDefault="00F96630" w:rsidP="00F96630">
      <w:pPr>
        <w:rPr>
          <w:rFonts w:ascii="Times New Roman" w:eastAsia="Times New Roman" w:hAnsi="Times New Roman" w:cs="Times New Roman"/>
          <w:szCs w:val="24"/>
          <w:lang w:eastAsia="de-DE"/>
        </w:rPr>
      </w:pPr>
    </w:p>
    <w:p w14:paraId="3BB645A1"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Thesen</w:t>
      </w:r>
      <w:r w:rsidRPr="00BE4C5F">
        <w:rPr>
          <w:rFonts w:ascii="Times New Roman" w:eastAsia="Times New Roman" w:hAnsi="Times New Roman" w:cs="Times New Roman"/>
          <w:szCs w:val="24"/>
          <w:lang w:eastAsia="de-DE"/>
        </w:rPr>
        <w:t>: Biomethan, grüner Wasserstoff und synthetische Energieträger stehen in einer absehbar knappen Mengenlage in scharfer Konkurrenz zwischen dem Gebäudesektor, der Chemieindustrie, der Luftfahrt und der Seeschifffahrt; wer diese Energieträger zum Heizen von Wohngebäuden einsetzt, entzieht sie schwer elektrifizierungsfähigen Industrien, für die es keine gleichwertigen Substitute gibt.</w:t>
      </w:r>
    </w:p>
    <w:p w14:paraId="5A9A16B7"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 xml:space="preserve">Das Forum Ökologisch-Soziale Marktwirtschaft (FÖS) kommt in einer Metastudie im Auftrag der Klima-Allianz Deutschland zu dem Schluss, dass synthetische Kraftstoffe nicht in ausreichendem Maße verfügbar sein werden, um den Pkw-Verkehr damit klimaneutral zu </w:t>
      </w:r>
      <w:r w:rsidRPr="00BE4C5F">
        <w:rPr>
          <w:rFonts w:ascii="Times New Roman" w:eastAsia="Times New Roman" w:hAnsi="Times New Roman" w:cs="Times New Roman"/>
          <w:szCs w:val="24"/>
          <w:lang w:eastAsia="de-DE"/>
        </w:rPr>
        <w:lastRenderedPageBreak/>
        <w:t>machen. Die Studienautoren empfehlen politische Fördergelder für E-Fuels ausdrücklich — aber für den Einsatz in der Schiff- und Luftfahrt, wo eine Elektrifizierung nicht möglich ist. ￼ Dieser Grundsatz gilt analog für Biomethan im Gebäudesektor. Es kann einfach nicht genug Biomasse nachhaltig produziert werden, um fossile Kraftstoffe vollständig zu ersetzen; daher sollten Rohstoffe, die nicht in Konkurrenz zur Nahrungsmittelproduktion stehen, vorrangig den Sektoren vorbehalten bleiben, in denen eine Direktelektrifizierung technisch nicht möglich ist. ￼ Gebäudewärme hingegen lässt sich sehr wohl durch Wärmepumpen elektrifizieren — wie der Markt 2025 bereits gezeigt hat: Erstmalig wurden in Deutschland mehr Wärmepumpen als Gaskessel verkauft. ￼</w:t>
      </w:r>
    </w:p>
    <w:p w14:paraId="64665387" w14:textId="77777777" w:rsidR="00F96630" w:rsidRPr="00BE4C5F" w:rsidRDefault="00F96630" w:rsidP="00F96630">
      <w:pPr>
        <w:rPr>
          <w:rFonts w:ascii="Times New Roman" w:eastAsia="Times New Roman" w:hAnsi="Times New Roman" w:cs="Times New Roman"/>
          <w:szCs w:val="24"/>
          <w:lang w:eastAsia="de-DE"/>
        </w:rPr>
      </w:pPr>
    </w:p>
    <w:p w14:paraId="449F5535"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Fragen</w:t>
      </w:r>
      <w:r w:rsidRPr="00BE4C5F">
        <w:rPr>
          <w:rFonts w:ascii="Times New Roman" w:eastAsia="Times New Roman" w:hAnsi="Times New Roman" w:cs="Times New Roman"/>
          <w:szCs w:val="24"/>
          <w:lang w:eastAsia="de-DE"/>
        </w:rPr>
        <w:t xml:space="preserve"> an MdB Jan Metzler: </w:t>
      </w:r>
    </w:p>
    <w:p w14:paraId="2F94B310"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3. Hat die Bundesregierung eine sektorübergreifende Allokationsstrategie für grüne Gase und synthetische Energieträger erarbeitet, die sicherstellt, dass die knappen Mengen vorrangig dort eingesetzt werden, wo keine Elektrifizierungsalternative besteht, also in der Chemieindustrie, der Luftfahrt und der Seeschifffahrt, statt zum Beheizen von Wohngebäuden, für die Wärmepumpen bereits die wirtschaftlich überlegene Lösung darstellen?</w:t>
      </w:r>
    </w:p>
    <w:p w14:paraId="76A63A5C" w14:textId="77777777" w:rsidR="00F96630" w:rsidRPr="00BE4C5F" w:rsidRDefault="00F96630" w:rsidP="00F96630">
      <w:pPr>
        <w:rPr>
          <w:rFonts w:ascii="Times New Roman" w:eastAsia="Times New Roman" w:hAnsi="Times New Roman" w:cs="Times New Roman"/>
          <w:szCs w:val="24"/>
          <w:lang w:eastAsia="de-DE"/>
        </w:rPr>
      </w:pPr>
    </w:p>
    <w:p w14:paraId="6219DB8C"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Thema: Klimaschutzziele im Gebäudesektor — drohen Milliardenstrafen?</w:t>
      </w:r>
    </w:p>
    <w:p w14:paraId="15087B14" w14:textId="77777777" w:rsidR="00F96630" w:rsidRPr="00BE4C5F" w:rsidRDefault="00F96630" w:rsidP="00F96630">
      <w:pPr>
        <w:rPr>
          <w:rFonts w:ascii="Times New Roman" w:eastAsia="Times New Roman" w:hAnsi="Times New Roman" w:cs="Times New Roman"/>
          <w:szCs w:val="24"/>
          <w:lang w:eastAsia="de-DE"/>
        </w:rPr>
      </w:pPr>
    </w:p>
    <w:p w14:paraId="0166735B"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Thesen:</w:t>
      </w:r>
      <w:r w:rsidRPr="00BE4C5F">
        <w:rPr>
          <w:rFonts w:ascii="Times New Roman" w:eastAsia="Times New Roman" w:hAnsi="Times New Roman" w:cs="Times New Roman"/>
          <w:szCs w:val="24"/>
          <w:lang w:eastAsia="de-DE"/>
        </w:rPr>
        <w:t xml:space="preserve"> Eine unabhängige Studie des Öko-Instituts belegt quantitativ, dass die Abschaffung der 65-Prozent-EE-Pflicht die ohnehin bestehende Klimaschutzlücke im Gebäudesektor um weitere 14 bis 22 Millionen Tonnen CO₂ pro Jahr bis 2040 vergrößert und damit EU-Strafzahlungen in Milliardenhöhe wahrscheinlicher macht.</w:t>
      </w:r>
    </w:p>
    <w:p w14:paraId="5264094E"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Nach den Erkenntnissen des Öko-Instituts (März 2026) prägt die 65-Prozent-Regelung den Emissionspfad des Gebäudesektors maßgeblich. Wenn dieser verbindliche Standard entfällt, fehlt ein zentraler Treiber für den Umstieg auf erneuerbare Wärme und die Transformation verlangsamt sich deutlich. Selbst mit den bisherigen klimapolitischen Maßnahmen werden danach die nationalen Klimaziele für 2030 und 2040 voraussichtlich verfehlt. Ersetzt man die 65-Prozent-Vorgabe durch die in den Eckpunkten beschriebenen Instrumente, vergrößert sich die Abweichung vom gesetzlich festgelegten Emissionspfad deutlich. ￼ Die Bundesregierung selbst räumt ein, dass die Maßnahmen nicht ausreichen werden, um die europäischen Ziele im Rahmen der Effort Sharing Regulation (ESR) zu erreichen und dass eine Zielverfehlung finanziell kompensiert werden muss. ￼ Bereits das Bundesverwaltungsgericht hat am 29. Januar 2026 das bisherige Klimaschutzprogramm als unzureichend bezeichnet. Die 65-Prozent-EE-Pflicht des GEG hätte eine jährliche CO₂-Minderung von 9,6 Millionen Tonnen im Jahr 2030 und 30,2 Millionen Tonnen im Jahr 2040 gebracht. Schon mit dieser Regelung bestand im Gebäudesektor eine jährliche Abweichung von rund 25 Millionen Tonnen vom gesetzlichen Zielpfad. ￼</w:t>
      </w:r>
    </w:p>
    <w:p w14:paraId="62C5C55C" w14:textId="77777777" w:rsidR="00F96630" w:rsidRPr="00BE4C5F" w:rsidRDefault="00F96630" w:rsidP="00F96630">
      <w:pPr>
        <w:rPr>
          <w:rFonts w:ascii="Times New Roman" w:eastAsia="Times New Roman" w:hAnsi="Times New Roman" w:cs="Times New Roman"/>
          <w:szCs w:val="24"/>
          <w:lang w:eastAsia="de-DE"/>
        </w:rPr>
      </w:pPr>
    </w:p>
    <w:p w14:paraId="58313F6D"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Fragen</w:t>
      </w:r>
      <w:r w:rsidRPr="00BE4C5F">
        <w:rPr>
          <w:rFonts w:ascii="Times New Roman" w:eastAsia="Times New Roman" w:hAnsi="Times New Roman" w:cs="Times New Roman"/>
          <w:szCs w:val="24"/>
          <w:lang w:eastAsia="de-DE"/>
        </w:rPr>
        <w:t xml:space="preserve"> an MdB Jan Metzler: </w:t>
      </w:r>
    </w:p>
    <w:p w14:paraId="745B0CBD"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4. Hat die Bundesregierung die zu erwartenden Strafzahlungen nach der EU-Lastenverteilungsverordnung (Effort Sharing Regulation) berechnet, die entstehen, wenn der Gebäudesektor die Klimaschutzziele für 2030 verfehlt? </w:t>
      </w:r>
    </w:p>
    <w:p w14:paraId="6404AE30"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5. Wie bewertet Ihre Fraktion das Risiko, dass die Einsparungen durch das Streichen der 65-Prozent-Regel durch Bußgelder und notwendige Käufe von Emissionszertifikaten auf EU-Ebene weit übertroffen werden?</w:t>
      </w:r>
    </w:p>
    <w:p w14:paraId="229B4746" w14:textId="5B2A15A3" w:rsidR="00F96630" w:rsidRDefault="00F96630" w:rsidP="00F96630">
      <w:pPr>
        <w:rPr>
          <w:rFonts w:ascii="Times New Roman" w:eastAsia="Times New Roman" w:hAnsi="Times New Roman" w:cs="Times New Roman"/>
          <w:szCs w:val="24"/>
          <w:lang w:eastAsia="de-DE"/>
        </w:rPr>
      </w:pPr>
    </w:p>
    <w:p w14:paraId="788CF53D" w14:textId="52A91BFF" w:rsidR="00067095" w:rsidRDefault="00067095" w:rsidP="00F96630">
      <w:pPr>
        <w:rPr>
          <w:rFonts w:ascii="Times New Roman" w:eastAsia="Times New Roman" w:hAnsi="Times New Roman" w:cs="Times New Roman"/>
          <w:szCs w:val="24"/>
          <w:lang w:eastAsia="de-DE"/>
        </w:rPr>
      </w:pPr>
    </w:p>
    <w:p w14:paraId="3CA3E2C6" w14:textId="77777777" w:rsidR="00067095" w:rsidRPr="00BE4C5F" w:rsidRDefault="00067095" w:rsidP="00F96630">
      <w:pPr>
        <w:rPr>
          <w:rFonts w:ascii="Times New Roman" w:eastAsia="Times New Roman" w:hAnsi="Times New Roman" w:cs="Times New Roman"/>
          <w:szCs w:val="24"/>
          <w:lang w:eastAsia="de-DE"/>
        </w:rPr>
      </w:pPr>
    </w:p>
    <w:p w14:paraId="3A0A081F"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lastRenderedPageBreak/>
        <w:t>Thema: Elektrifizierungstrends aus China — riskiert Deutschland seinen Industriestandort?</w:t>
      </w:r>
    </w:p>
    <w:p w14:paraId="2DE64FE0" w14:textId="77777777" w:rsidR="00F96630" w:rsidRPr="00BE4C5F" w:rsidRDefault="00F96630" w:rsidP="00F96630">
      <w:pPr>
        <w:rPr>
          <w:rFonts w:ascii="Times New Roman" w:eastAsia="Times New Roman" w:hAnsi="Times New Roman" w:cs="Times New Roman"/>
          <w:szCs w:val="24"/>
          <w:lang w:eastAsia="de-DE"/>
        </w:rPr>
      </w:pPr>
    </w:p>
    <w:p w14:paraId="77930A35"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Thesen</w:t>
      </w:r>
      <w:r w:rsidRPr="00BE4C5F">
        <w:rPr>
          <w:rFonts w:ascii="Times New Roman" w:eastAsia="Times New Roman" w:hAnsi="Times New Roman" w:cs="Times New Roman"/>
          <w:szCs w:val="24"/>
          <w:lang w:eastAsia="de-DE"/>
        </w:rPr>
        <w:t>: Während China die Wärme- und Mobilitätsversorgung seiner Städte mit hohem Tempo auf Strom und Wärmepumpen umstellt und damit gleichzeitig Energieautarkie und Industrieführerschaft im Wärmepumpenmarkt aufbaut, setzt Deutschland mit dem GModG auf eine fossile Brückenstrategie, die den Anschluss an diesen Strukturwandel verzögert und damit Marktanteile, Investitionen und technologische Kompetenz an die Wettbewerber verliert.</w:t>
      </w:r>
    </w:p>
    <w:p w14:paraId="5EFB782E"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Der Absatz von Wärmepumpen in Deutschland hat 2025 um 55 Prozent zugelegt; erstmals wurden mehr Wärmepumpen als Gaskessel verkauft. ￼ Diese Marktentwicklung zeigt, dass Verbraucher und Handwerker die Richtung erkannt haben. </w:t>
      </w:r>
    </w:p>
    <w:p w14:paraId="703E7053"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Das GModG sendet jedoch ein gegenläufiges Signal: Es erlaubt wieder den Einbau von Gas- und Ölheizungen ohne Einschränkungen bis 2029, und selbst danach starten die Biogaspflichten auf niedrigstem Niveau.  Was auf den ersten Blick nach Technologieoffenheit aussieht, ist in der Praxis aber ein Freifahrtschein für fossile Heizungen ist. ￼ Chinesische Hersteller produzieren Wärmepumpen zu stark gesunkenen Kosten; wer jetzt den deutschen Wärmepumpenmarkt durch eine fossile Rückfallstrategie verlangsamst, gibt diesen Heimvorteil auf und riskiert zudem, dass deutsche Heizungsbauer ihre Produktionslinien nicht auslasten können.</w:t>
      </w:r>
    </w:p>
    <w:p w14:paraId="26680469" w14:textId="77777777" w:rsidR="00F96630" w:rsidRPr="00BE4C5F" w:rsidRDefault="00F96630" w:rsidP="00F96630">
      <w:pPr>
        <w:rPr>
          <w:rFonts w:ascii="Times New Roman" w:eastAsia="Times New Roman" w:hAnsi="Times New Roman" w:cs="Times New Roman"/>
          <w:szCs w:val="24"/>
          <w:lang w:eastAsia="de-DE"/>
        </w:rPr>
      </w:pPr>
    </w:p>
    <w:p w14:paraId="7F7DE51E"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Fragen</w:t>
      </w:r>
      <w:r w:rsidRPr="00BE4C5F">
        <w:rPr>
          <w:rFonts w:ascii="Times New Roman" w:eastAsia="Times New Roman" w:hAnsi="Times New Roman" w:cs="Times New Roman"/>
          <w:szCs w:val="24"/>
          <w:lang w:eastAsia="de-DE"/>
        </w:rPr>
        <w:t xml:space="preserve"> an MdB Jan Metzler: </w:t>
      </w:r>
    </w:p>
    <w:p w14:paraId="1BCB99D9"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 xml:space="preserve">6. Hat die Bundesregierung eine Abschätzung vorgenommen, welche industriepolitischen Konsequenzen die Verlangsamung des Wärmepumpenmarktes durch das GModG für deutsche Heizungshersteller und deren Beschäftigte </w:t>
      </w:r>
      <w:proofErr w:type="gramStart"/>
      <w:r w:rsidRPr="00BE4C5F">
        <w:rPr>
          <w:rFonts w:ascii="Times New Roman" w:eastAsia="Times New Roman" w:hAnsi="Times New Roman" w:cs="Times New Roman"/>
          <w:szCs w:val="24"/>
          <w:lang w:eastAsia="de-DE"/>
        </w:rPr>
        <w:t>hat,  insbesondere</w:t>
      </w:r>
      <w:proofErr w:type="gramEnd"/>
      <w:r w:rsidRPr="00BE4C5F">
        <w:rPr>
          <w:rFonts w:ascii="Times New Roman" w:eastAsia="Times New Roman" w:hAnsi="Times New Roman" w:cs="Times New Roman"/>
          <w:szCs w:val="24"/>
          <w:lang w:eastAsia="de-DE"/>
        </w:rPr>
        <w:t xml:space="preserve"> im Vergleich zu den Elektrifizierungsoffensiven Chinas, Skandinaviens und der USA im Rahmen des Inflation Reduction Act?</w:t>
      </w:r>
    </w:p>
    <w:p w14:paraId="6CD9EDAD" w14:textId="77777777" w:rsidR="00F96630" w:rsidRPr="00BE4C5F" w:rsidRDefault="00F96630" w:rsidP="00F96630">
      <w:pPr>
        <w:rPr>
          <w:rFonts w:ascii="Times New Roman" w:eastAsia="Times New Roman" w:hAnsi="Times New Roman" w:cs="Times New Roman"/>
          <w:szCs w:val="24"/>
          <w:lang w:eastAsia="de-DE"/>
        </w:rPr>
      </w:pPr>
    </w:p>
    <w:p w14:paraId="7F7FE980"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Thema: Mieterschutz — trägt das GModG die Kostenlast auf Mieter um?</w:t>
      </w:r>
    </w:p>
    <w:p w14:paraId="692DC3D1" w14:textId="77777777" w:rsidR="00F96630" w:rsidRPr="00BE4C5F" w:rsidRDefault="00F96630" w:rsidP="00F96630">
      <w:pPr>
        <w:rPr>
          <w:rFonts w:ascii="Times New Roman" w:eastAsia="Times New Roman" w:hAnsi="Times New Roman" w:cs="Times New Roman"/>
          <w:szCs w:val="24"/>
          <w:lang w:eastAsia="de-DE"/>
        </w:rPr>
      </w:pPr>
    </w:p>
    <w:p w14:paraId="1BBE0D8F"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Thesen</w:t>
      </w:r>
      <w:r w:rsidRPr="00BE4C5F">
        <w:rPr>
          <w:rFonts w:ascii="Times New Roman" w:eastAsia="Times New Roman" w:hAnsi="Times New Roman" w:cs="Times New Roman"/>
          <w:szCs w:val="24"/>
          <w:lang w:eastAsia="de-DE"/>
        </w:rPr>
        <w:t>: Das GModG überträgt das Kostenrisiko steigender Brennstoffpreise durch die Biogas-Beimischungspflicht faktisch auf Mieterhaushalte, ohne wirksame Schutzregelungen zu verankern, da Vermieter weiterhin fossile Heizungen einbauen und die steigenden Betriebskosten über die Nebenkosten weitergeben können.</w:t>
      </w:r>
    </w:p>
    <w:p w14:paraId="651AD840"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Nach aktuellem Informationsstand können Vermieter weiterhin fossile Heizungen einbauen und die steigenden Betriebskosten auf die Nebenkosten umlegen. Gerade für Miethaushalte entstünde damit ein erhebliches finanzielles Risiko, falls transparente und wirksame Schutzmechanismen fehlen. ￼ Das Öko-Institut betont, dass Vermietende die Mehrkosten tragen müssen, die mit dem Einsatz teurer Brennstoffe entstehen, damit sie dieses Kostenrisiko in ihren Investitionsentscheidungen berücksichtigen und Mietende wirksam geschützt sind. ￼ Eine Wärmepumpe ist über 20 Jahre rund 30.000 Euro günstiger als eine Gasheizung, selbst wenn das GModG die 65-Prozent-Pflicht abschafft; die Biotreppe macht Gas langfristig sogar noch teurer als bisher kalkuliert, da die Biomethan-Beimischung den Brennstoffpreis erhöht. ￼ Mieter, die keine Wahl über die Heizungsart haben, werden damit systematisch benachteiligt.</w:t>
      </w:r>
    </w:p>
    <w:p w14:paraId="51E6FD05" w14:textId="77777777" w:rsidR="00F96630" w:rsidRPr="00BE4C5F" w:rsidRDefault="00F96630" w:rsidP="00F96630">
      <w:pPr>
        <w:rPr>
          <w:rFonts w:ascii="Times New Roman" w:eastAsia="Times New Roman" w:hAnsi="Times New Roman" w:cs="Times New Roman"/>
          <w:szCs w:val="24"/>
          <w:lang w:eastAsia="de-DE"/>
        </w:rPr>
      </w:pPr>
    </w:p>
    <w:p w14:paraId="258586A1"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Fragen</w:t>
      </w:r>
      <w:r w:rsidRPr="00BE4C5F">
        <w:rPr>
          <w:rFonts w:ascii="Times New Roman" w:eastAsia="Times New Roman" w:hAnsi="Times New Roman" w:cs="Times New Roman"/>
          <w:szCs w:val="24"/>
          <w:lang w:eastAsia="de-DE"/>
        </w:rPr>
        <w:t xml:space="preserve"> an MdB Jan Metzler: </w:t>
      </w:r>
    </w:p>
    <w:p w14:paraId="0E8A91DA"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7. Welche verbindlichen und durchsetzbaren Mieterschutzregelungen sind im GModG oder im BGB geplant, die sicherstellen, dass Vermieter die durch die Biogas-Beimischungspflicht entstehenden Mehrkosten nicht auf die Nebenkosten der Mieterinnen und Mieter umlegen können? </w:t>
      </w:r>
    </w:p>
    <w:p w14:paraId="750A16FB" w14:textId="77777777" w:rsidR="00F96630" w:rsidRPr="00BE4C5F" w:rsidRDefault="00F96630" w:rsidP="00F96630">
      <w:pPr>
        <w:rPr>
          <w:rFonts w:ascii="Times New Roman" w:eastAsia="Times New Roman" w:hAnsi="Times New Roman" w:cs="Times New Roman"/>
          <w:szCs w:val="24"/>
          <w:lang w:eastAsia="de-DE"/>
        </w:rPr>
      </w:pPr>
    </w:p>
    <w:p w14:paraId="1F20A3A1"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8. Wie wird ausgeschlossen, dass das GModG faktisch zu einer Umverteilung von Energiewende-Kosten zulasten einkommensschwacher Miethaushalte führt?</w:t>
      </w:r>
    </w:p>
    <w:p w14:paraId="4232287C" w14:textId="77777777" w:rsidR="00F96630" w:rsidRPr="00BE4C5F" w:rsidRDefault="00F96630" w:rsidP="00F96630">
      <w:pPr>
        <w:rPr>
          <w:rFonts w:ascii="Times New Roman" w:eastAsia="Times New Roman" w:hAnsi="Times New Roman" w:cs="Times New Roman"/>
          <w:szCs w:val="24"/>
          <w:lang w:eastAsia="de-DE"/>
        </w:rPr>
      </w:pPr>
    </w:p>
    <w:p w14:paraId="19480473"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Thema: Geopolitische Abhängigkeit — Heizsysteme und Energiesicherheit in Kriegszeiten</w:t>
      </w:r>
    </w:p>
    <w:p w14:paraId="7ADF7CBA" w14:textId="77777777" w:rsidR="00F96630" w:rsidRPr="00BE4C5F" w:rsidRDefault="00F96630" w:rsidP="00F96630">
      <w:pPr>
        <w:rPr>
          <w:rFonts w:ascii="Times New Roman" w:eastAsia="Times New Roman" w:hAnsi="Times New Roman" w:cs="Times New Roman"/>
          <w:szCs w:val="24"/>
          <w:lang w:eastAsia="de-DE"/>
        </w:rPr>
      </w:pPr>
    </w:p>
    <w:p w14:paraId="6AC0DA50"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Thesen</w:t>
      </w:r>
      <w:r w:rsidRPr="00BE4C5F">
        <w:rPr>
          <w:rFonts w:ascii="Times New Roman" w:eastAsia="Times New Roman" w:hAnsi="Times New Roman" w:cs="Times New Roman"/>
          <w:szCs w:val="24"/>
          <w:lang w:eastAsia="de-DE"/>
        </w:rPr>
        <w:t>: In einer geopolitischen Lage, in der Erdgas als Druckmittel autokratischer Regime eingesetzt wird und Versorgungsunterbrechungen real eingetreten sind, verlängert das GModG durch die Festschreibung fossiler Heizsysteme auf Jahrzehnte eine strukturelle Abhängigkeit, die der nationalen Energiesicherheit widerspricht.</w:t>
      </w:r>
    </w:p>
    <w:p w14:paraId="03841AE3"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Die Erfahrung des russischen Angriffskriegs auf die Ukraine hat gezeigt, wie verwundbar Deutschland durch seine Gasabhängigkeit ist. Die aktuelle weltpolitische Lage zeigt die unkalkulierbaren Preissprünge bei fossilen Brennstoffen. ￼ Wer heute eine neue Gasheizung einbaut, bindet sich für 15 bis 20 Jahre an einen Brennstoff, dessen Lieferketten geopolitisch exponiert bleiben unabhängig davon, ob es sich um russisches, amerikanisches oder katarisches Gas handelt. Der Montoring-Bericht des BMWE zum Energiewende-Monitoring hat darüber hinaus bestätigt, dass die weitere Flexibilisierung der Energiewende durch Batteriespeicher, bidirektionales Laden, Smart-Meter-Rollout und Maßnahmen zur Überbrückung von Dunkelflauten erhebliche Kostenvorteile bietet ￼und damit langfristig eine rein heimische, nicht importabhängige Wärmeversorgung ermöglicht. Das GModG geht in die entgegengesetzte Richtung.</w:t>
      </w:r>
    </w:p>
    <w:p w14:paraId="7E08388C" w14:textId="77777777" w:rsidR="00F96630" w:rsidRPr="00BE4C5F" w:rsidRDefault="00F96630" w:rsidP="00F96630">
      <w:pPr>
        <w:rPr>
          <w:rFonts w:ascii="Times New Roman" w:eastAsia="Times New Roman" w:hAnsi="Times New Roman" w:cs="Times New Roman"/>
          <w:szCs w:val="24"/>
          <w:lang w:eastAsia="de-DE"/>
        </w:rPr>
      </w:pPr>
    </w:p>
    <w:p w14:paraId="1C6E5B02"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Fragen</w:t>
      </w:r>
      <w:r w:rsidRPr="00BE4C5F">
        <w:rPr>
          <w:rFonts w:ascii="Times New Roman" w:eastAsia="Times New Roman" w:hAnsi="Times New Roman" w:cs="Times New Roman"/>
          <w:szCs w:val="24"/>
          <w:lang w:eastAsia="de-DE"/>
        </w:rPr>
        <w:t xml:space="preserve"> an MdB Jan Metzler: </w:t>
      </w:r>
    </w:p>
    <w:p w14:paraId="50A610DA"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9. Wie bewertet die Bundesregierung das Risiko, dass Millionen neu eingebauter Gasheizungen, deren Betrieb das GModG bis weit nach 2035 erlaubt, im Falle geopolitischer Krisen zu einer strukturellen Verletzlichkeit der deutschen Energieversorgung führen?</w:t>
      </w:r>
    </w:p>
    <w:p w14:paraId="0DE14CB8" w14:textId="763F974D"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10. Welche Ausweichszenarien sind für einen plötzlichen Lieferausfall von Erdgas in einem Winter vorgesehen, wenn ein Großteil des Gebäudebestandes weiterhin auf Gasbasis beheizt wird?</w:t>
      </w:r>
    </w:p>
    <w:p w14:paraId="1748FA4D" w14:textId="77777777" w:rsidR="00F96630" w:rsidRPr="00BE4C5F" w:rsidRDefault="00F96630" w:rsidP="00F96630">
      <w:pPr>
        <w:rPr>
          <w:rFonts w:ascii="Times New Roman" w:eastAsia="Times New Roman" w:hAnsi="Times New Roman" w:cs="Times New Roman"/>
          <w:szCs w:val="24"/>
          <w:lang w:eastAsia="de-DE"/>
        </w:rPr>
      </w:pPr>
    </w:p>
    <w:p w14:paraId="65B70C13"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Thema: Widerstand der Energieministerien der Länder — fehlt dem GModG der politische Konsens?</w:t>
      </w:r>
    </w:p>
    <w:p w14:paraId="3A572645" w14:textId="77777777" w:rsidR="00F96630" w:rsidRPr="00BE4C5F" w:rsidRDefault="00F96630" w:rsidP="00F96630">
      <w:pPr>
        <w:rPr>
          <w:rFonts w:ascii="Times New Roman" w:eastAsia="Times New Roman" w:hAnsi="Times New Roman" w:cs="Times New Roman"/>
          <w:szCs w:val="24"/>
          <w:lang w:eastAsia="de-DE"/>
        </w:rPr>
      </w:pPr>
    </w:p>
    <w:p w14:paraId="3C63F816"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Thesen</w:t>
      </w:r>
      <w:r w:rsidRPr="00BE4C5F">
        <w:rPr>
          <w:rFonts w:ascii="Times New Roman" w:eastAsia="Times New Roman" w:hAnsi="Times New Roman" w:cs="Times New Roman"/>
          <w:szCs w:val="24"/>
          <w:lang w:eastAsia="de-DE"/>
        </w:rPr>
        <w:t>: Die Eckpunkte des GModG stoßen nicht nur bei Umweltverbänden, sondern auch bei mehreren Landesenergieministern auf grundlegende Ablehnung, weil sie die kommunale Wärmeplanung entwerten, Investitionsunsicherheit erzeugen und die Länder bei der Zielverfehlung europarechtlicher Klimavorgaben in Mithaftung nehmen.</w:t>
      </w:r>
    </w:p>
    <w:p w14:paraId="623147B8"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Die These der „Technologieoffenheit“ stellt sich für die Betroffenen als Verunsicherung und fehlende Planungssicherheit dar. </w:t>
      </w:r>
    </w:p>
    <w:p w14:paraId="179954FC"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Die Eckpunkte entkoppeln das GModG von der kommunalen Wärmeplanung und entlassen Eigentümer aus der Bindung an lokale Wärmepläne. ￼ Dies untergräbt Investitionen in Fernwärme und lokale Energieversorgungsinfrastruktur, die Stadtwerke und Gemeinden bereits getätigt haben oder planen. Zudem blockiert das Bundesfinanzministerium das GModG aktuell in der Ressortabstimmung, mit dem Verweis, der Koalitionsvertrag sehe den weiteren Ausbau der Erneuerbaren Energien vor. Auch dies ist ein Signal für den ungelösten innerkoalitionären Konflikt. Experten, NGOs und Akteure im Umwelt- und Energiesektor zeigen sich von dem Klimaschutzprogramm enttäuscht. Das Programm könne Deutschlands Emissionen voraussichtlich nicht ausreichend senken, um die gesetzlich verankerten Reduktionsziele zu erreichen. ￼</w:t>
      </w:r>
    </w:p>
    <w:p w14:paraId="705DF3AD" w14:textId="77777777" w:rsidR="00F96630" w:rsidRPr="00BE4C5F" w:rsidRDefault="00F96630" w:rsidP="00F96630">
      <w:pPr>
        <w:rPr>
          <w:rFonts w:ascii="Times New Roman" w:eastAsia="Times New Roman" w:hAnsi="Times New Roman" w:cs="Times New Roman"/>
          <w:szCs w:val="24"/>
          <w:lang w:eastAsia="de-DE"/>
        </w:rPr>
      </w:pPr>
    </w:p>
    <w:p w14:paraId="5F5A3386"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lastRenderedPageBreak/>
        <w:t>Frage</w:t>
      </w:r>
      <w:r w:rsidRPr="00BE4C5F">
        <w:rPr>
          <w:rFonts w:ascii="Times New Roman" w:eastAsia="Times New Roman" w:hAnsi="Times New Roman" w:cs="Times New Roman"/>
          <w:szCs w:val="24"/>
          <w:lang w:eastAsia="de-DE"/>
        </w:rPr>
        <w:t xml:space="preserve"> an MdB Jan Metzler: </w:t>
      </w:r>
    </w:p>
    <w:p w14:paraId="2277894D"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11. Wie erklärt die Bundesregierung, dass sie mit dem GModG ein Gesetz vorantreibt, das von mehreren Landesenergieministern, vom Finanzministerium im Kabinett, vom Bundesverwaltungsgericht im Urteil vom 29. Januar 2026 zum Klimaschutzprogramm und von unabhängigen wissenschaftlichen Gutachtern des Öko-Instituts als unzureichend für die Klimaschutzziele und als schädlich für die kommunale Wärmeplanung bewertet wird? </w:t>
      </w:r>
    </w:p>
    <w:p w14:paraId="5EDB1ED8" w14:textId="77777777" w:rsidR="00F96630" w:rsidRPr="00BE4C5F" w:rsidRDefault="00F96630" w:rsidP="00F96630">
      <w:pPr>
        <w:rPr>
          <w:rFonts w:ascii="Times New Roman" w:eastAsia="Times New Roman" w:hAnsi="Times New Roman" w:cs="Times New Roman"/>
          <w:szCs w:val="24"/>
          <w:lang w:eastAsia="de-DE"/>
        </w:rPr>
      </w:pPr>
    </w:p>
    <w:p w14:paraId="173B3670"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Wir bitten Sie dringend, sich in Ihrer Fraktion für eine grundlegende Ändeung mit wirksamen Mindesteffizienzstandards, einen ambitionierten Bio-Treppe-Zeitplan und einen starken Mieterschutz einzusetzen. </w:t>
      </w:r>
    </w:p>
    <w:p w14:paraId="55A424BA" w14:textId="77777777" w:rsidR="00F96630" w:rsidRPr="00BE4C5F" w:rsidRDefault="00F96630" w:rsidP="00F96630">
      <w:pPr>
        <w:rPr>
          <w:rFonts w:ascii="Times New Roman" w:eastAsia="Times New Roman" w:hAnsi="Times New Roman" w:cs="Times New Roman"/>
          <w:szCs w:val="24"/>
          <w:lang w:eastAsia="de-DE"/>
        </w:rPr>
      </w:pPr>
    </w:p>
    <w:p w14:paraId="1521DCB3"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b/>
          <w:bCs/>
          <w:szCs w:val="24"/>
          <w:lang w:eastAsia="de-DE"/>
        </w:rPr>
        <w:t>Quellennachweis</w:t>
      </w:r>
    </w:p>
    <w:p w14:paraId="4F1C6C6F"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Die vorliegenden Thesen stützen sich auf folgende Quellen:</w:t>
      </w:r>
    </w:p>
    <w:p w14:paraId="1078BB04"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(1) Öko-Institut Freiburg (März 2026): Auswirkungen der Eckpunkte zum neuen GebäudeModG auf die Klimaziele — oeko.de</w:t>
      </w:r>
    </w:p>
    <w:p w14:paraId="02AB3005"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(2) Forum Ökologisch-Soziale Marktwirtschaft (FÖS) (2025): Metastudie zu synthetischen Kraftstoffen, im Auftrag der Klima-Allianz Deutschland</w:t>
      </w:r>
    </w:p>
    <w:p w14:paraId="7C5DDFB1"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(3) Bundesnetzagentur (September 2025): Bericht zur Versorgungssicherheit Strom 2025 — BMWE</w:t>
      </w:r>
    </w:p>
    <w:p w14:paraId="385B8C21"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Öko-Zentrum NRW (laufend aktualisiert bis April 2026): Update zum Gebäudeenergiegesetz — oekozentrum.nrw</w:t>
      </w:r>
    </w:p>
    <w:p w14:paraId="2B1B9E17"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(4) Science Media Center Germany (März 2026): Das neue Klimaschutzprogramm der Bundesregierung — Expertenstatements — sciencemediacenter.de</w:t>
      </w:r>
    </w:p>
    <w:p w14:paraId="5D8C9280"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(5) Verbraucherzentrale Energieberatung (2026): Neues Gebäudemodernisierungsgesetz: Zurück in die Vergangenheit? — verbraucherzentrale-energieberatung.de</w:t>
      </w:r>
    </w:p>
    <w:p w14:paraId="74DD108A"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(6) EWI/BET Consulting (September 2025): Monitoringbericht Energiewende im Auftrag des BMWE — bundeswirtschaftsministerium.de</w:t>
      </w:r>
    </w:p>
    <w:p w14:paraId="5FD06861" w14:textId="77777777" w:rsidR="00F96630" w:rsidRPr="00BE4C5F" w:rsidRDefault="00F96630" w:rsidP="00F96630">
      <w:pPr>
        <w:rPr>
          <w:rFonts w:ascii="Times New Roman" w:eastAsia="Times New Roman" w:hAnsi="Times New Roman" w:cs="Times New Roman"/>
          <w:szCs w:val="24"/>
          <w:lang w:eastAsia="de-DE"/>
        </w:rPr>
      </w:pPr>
      <w:r w:rsidRPr="00BE4C5F">
        <w:rPr>
          <w:rFonts w:ascii="Times New Roman" w:eastAsia="Times New Roman" w:hAnsi="Times New Roman" w:cs="Times New Roman"/>
          <w:szCs w:val="24"/>
          <w:lang w:eastAsia="de-DE"/>
        </w:rPr>
        <w:t>(7) Bundesverwaltungsgericht: Urteil vom 29. Januar 2026 zum Klimaschutzprogramm 2023 (zitiert nach Science Media Center)</w:t>
      </w:r>
    </w:p>
    <w:p w14:paraId="594140F5" w14:textId="77777777" w:rsidR="00F96630" w:rsidRDefault="00F96630" w:rsidP="00F96630"/>
    <w:p w14:paraId="762A4B2D" w14:textId="77777777" w:rsidR="0088504F" w:rsidRDefault="0088504F"/>
    <w:sectPr w:rsidR="008850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30"/>
    <w:rsid w:val="00067095"/>
    <w:rsid w:val="00393D3A"/>
    <w:rsid w:val="0088504F"/>
    <w:rsid w:val="00F966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076C"/>
  <w15:chartTrackingRefBased/>
  <w15:docId w15:val="{7E8324B4-FED3-41E7-B302-E008BF72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6630"/>
    <w:pPr>
      <w:spacing w:after="0" w:line="240" w:lineRule="auto"/>
    </w:pPr>
    <w:rPr>
      <w:rFonts w:ascii="Calibri" w:hAnsi="Calibr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2039</Words>
  <Characters>12847</Characters>
  <Application>Microsoft Office Word</Application>
  <DocSecurity>0</DocSecurity>
  <Lines>107</Lines>
  <Paragraphs>29</Paragraphs>
  <ScaleCrop>false</ScaleCrop>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2026-05-03T12:18:00Z</dcterms:created>
  <dcterms:modified xsi:type="dcterms:W3CDTF">2026-05-03T12:18:00Z</dcterms:modified>
</cp:coreProperties>
</file>